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709" w:left="0" w:right="0"/>
        <w:jc w:val="both"/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</w:rPr>
        <w:t>Принят закон, усиливающий защиту граждан от мошенников</w:t>
      </w:r>
    </w:p>
    <w:p w14:paraId="02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</w:p>
    <w:p w14:paraId="03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В соответствии с изменениями в ст. 187 УК РФ к уголовной ответственности теперь будут привлекаться лица, совершающие неправомерные операции с использованием электронных кошельков и пластиковых карт, а также те, кто за вознаграждение передает электронные средства платежа третьим лицам. </w:t>
      </w:r>
    </w:p>
    <w:p w14:paraId="04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Им может грозить до шести лет лишения свободы со штрафом до миллиона рублей.</w:t>
      </w:r>
    </w:p>
    <w:p w14:paraId="05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Также до трех лет лишения свободы будет грозить клиенту банка, передавшему из корыстных побуждений доступ к банковскому счету или карту другому лицу или совершившему операции по его указанию. </w:t>
      </w:r>
    </w:p>
    <w:p w14:paraId="06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Сейчас закон не содержит прямого запрета на такую деятельность, а отсутствие у держателей банковских карт умысла на хищение имущества не позволяет привлекать их к уголовной ответственности.</w:t>
      </w:r>
    </w:p>
    <w:p w14:paraId="07000000">
      <w:pPr>
        <w:spacing w:after="0" w:before="0"/>
        <w:ind w:firstLine="709" w:left="0" w:right="0"/>
        <w:jc w:val="center"/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  <w:shd w:fill="FFD821" w:val="clear"/>
        </w:rPr>
      </w:pPr>
    </w:p>
    <w:p w14:paraId="08000000">
      <w:pPr>
        <w:spacing w:after="0" w:before="0"/>
        <w:ind w:firstLine="709" w:left="0" w:right="0"/>
        <w:jc w:val="center"/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  <w:shd w:fill="FFD821" w:val="clear"/>
        </w:rPr>
      </w:pPr>
      <w:r>
        <w:rPr>
          <w:rFonts w:ascii="Times New Roman" w:hAnsi="Times New Roman"/>
          <w:sz w:val="28"/>
        </w:rPr>
        <w:br/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2025-10-20T12:01:25Z</dcterms:modified>
</cp:coreProperties>
</file>