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Предметное окружение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Детей знакомят с названиями предметов ближайшего окружения (игрушки, одежда, обувь, посуда, мебель, транспортные средства), способами их использования, функциями («Из чашки пьют чай и компот», «На автобусе ездят на работу, в гости»).</w:t>
      </w:r>
      <w:proofErr w:type="gramEnd"/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Называя предметы, детей знакомят с их цветом (красный, желтый, синий, зеленый, черный, белый), формой, величиной; учат различать и называть части некоторых предметов (у автомашины – кабина, колеса; у платья – карманы, пуговицы, воротник), материал, из которого они сделаны (бумага, дерево, ткань).</w:t>
      </w:r>
      <w:proofErr w:type="gram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 При ознакомлении с материалом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нужно</w:t>
      </w:r>
      <w:proofErr w:type="gram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обеспечить активное восприятие. Отдельные свойства и качества материала воспринимаются легче, если дети неоднократно «опробуют» его (мнут, гладят, рвут и т. д.).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>Необходимо формировать у детей умение различать знакомые им предметы и действия на картинках и называть их. Для малыша это серьезная умственная задача: узнавание действий на картинке – одно из проявлений способности к обобщению. При выборе предметных картинок важно обращать внимание на четкость линий, яркость колорита, реалистичность и пропорциональность изображения; это поможет детям адекватно воспринимать предметы.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>Показывая сюжетные картинки, проводя игры-инсценировки («Как машина зверей катала», «Кто в домике живет?», «Зайка с мишкой дружно играют» и т. п.), воспитатель обращает внимание детей на состояние и настроение действующих лиц (испугался, не обижает, утешает, жалеет и т. п.), помогает разобраться в том, что хорошо и что плохо.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Для успешного освоения окружающих предметов требуются постепенность и систематичность, поэтому многие дидактические игры и упражнения, с помощью которых дети учатся правильно называть предметы и их признаки, повторяются неоднократно и с последовательным усложнением. К числу таких игр и упражнений относятся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proofErr w:type="gram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«Отгадай и назови» («Узнай и назови»), «Чудесный мешочек», «Оденем куклу на прогулку», «Поможем кукле раздеться», «Купание куклы», «Устроим кукле (медвежонку) комнату», «Кто ушел и кто пришел?», «Что изменилось?», «Кто что ест?» и др.</w:t>
      </w:r>
      <w:proofErr w:type="gramEnd"/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Для игр типа «Узнай и назови» вначале подбираются предметы одного вида, например, варежки.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Это позволяет одновременно познакомить детей с несколькими признаками: цветом, формой, величиной, материалом («Коля достал из чудесного мешочка вот какую красивую варежку.</w:t>
      </w:r>
      <w:proofErr w:type="gram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 Колина варежка красная и пушистая. Какая варежка? Коленька, покажи детям варежку. И Оле </w:t>
      </w:r>
      <w:r w:rsidRPr="00B6104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покажи. И Андрею. Какая у тебя варежка?» –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«Красная, пушистая»).</w:t>
      </w:r>
      <w:proofErr w:type="gram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 Из «Чудесной коробки» дети достают чашки разного цвета (белую с цветами, красную в белый горох, зеленую и др.).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>Далее для игр и упражнений подбирают различные предметы (например, чашка, блюдце, кружка и чайник), с которыми малыши выполняют разнообразные действия: поят куклу молоком из кружки, ставят чашку на блюдце, наливают в нее чай из чайника и т. п. Можно использовать как натуральные предметы (посуда, варежки, головные уборы, овощи, фрукты), так и игрушки (кукольная одежда, мебель, автомобили).</w:t>
      </w:r>
      <w:proofErr w:type="gramEnd"/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Усвоение новых слов происходит успешнее, если ребенок имеет возможность сравнивать объекты по указанным (выделенным) признакам (бумага мнется, а деревянный шарик не мнется – он твердый и т. п.). Поэтому в процессе обучения широко используются прикладывание, вкладывание предметов, то есть наглядное сравнение с опорой на определенный признак. Используются и игровые приемы. Например, решив одеть куклу в белое платье, ребенок ошибается и берет другое – та протестует: «Ты ошибся, малыш! Платье, которое ты держишь в руке, зеленое, как травка. А я просила белое. Белое, как снег. Постарайся найти белое, как снег, платье!». Запоминание программного материала или материала занятия у детей зачастую зависит от эмоциональной привлекательности, яркости, </w:t>
      </w:r>
      <w:proofErr w:type="spellStart"/>
      <w:r w:rsidRPr="00B61042">
        <w:rPr>
          <w:rFonts w:ascii="Times New Roman" w:eastAsia="Times New Roman" w:hAnsi="Times New Roman" w:cs="Times New Roman"/>
          <w:sz w:val="28"/>
          <w:szCs w:val="28"/>
        </w:rPr>
        <w:t>озвученности</w:t>
      </w:r>
      <w:proofErr w:type="spell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 предметов и т. п. Именно поэтому они долго помнят персонажей, которых взрослые включают в сюрпризные моменты.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>В жизненных ситуациях дети часто сталкиваются с необходимостью ориентироваться одновременно на цвет и величину или форму и материал предмета. Поэтому на занятиях следует упражнять их в выполнении заданий, которые приучают слышать и понимать разные по форме и содержанию обращения взрослого. Например, он предлагает: «Катя, напои чаем неваляшку в красном платье (рядом стоит такая же кукла, но в платье зеленого цвета). Вова, налей мишке молока в большую синюю чашку (рядом большая красная чашка). Настя, покатай на машине маленького беленького слоника (рядом стоит маленький серый слоник). Таня, покорми мишку из маленькой деревянной ложки (рядом маленькая металлическая ложка)» и т. п.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Эффективны в работе с детьми третьего года жизни и дидактические упражнения типа «Кто что делает?», которые проводятся с использованием несложных сюжетных картинок. Узнав и описав изображенное действие, ребенок (по заданию воспитателя) воспроизводит его с помощью реальных предметов. Например, показывает, как мальчик поливает цветы из лейки, девочка баюкает куклу, мама стирает в тазу белье, повар пробует суп, </w:t>
      </w:r>
      <w:r w:rsidRPr="00B61042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который варится в кастрюле (картинки готовятся заблаговременно). Такие упражнения удовлетворяют потребность ребенка в импровизации, формируют умение действовать с игрушками и предметами в соответствии с их назначением.</w:t>
      </w:r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С детьми этого возраста на специальных занятиях рассматривают настенные картины. Это способствует накоплению и уточнению представлений об окружающем. Разработаны специальные серии, в которые входят предметные и сюжетные картинки, а также настенные картины. В первой младшей группе проводятся занятия по следующим сюжетным картинкам: </w:t>
      </w:r>
      <w:proofErr w:type="gramStart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«Игра с куклой», «Дети играют в кубики» (авторы серии В. </w:t>
      </w:r>
      <w:proofErr w:type="spellStart"/>
      <w:r w:rsidRPr="00B61042">
        <w:rPr>
          <w:rFonts w:ascii="Times New Roman" w:eastAsia="Times New Roman" w:hAnsi="Times New Roman" w:cs="Times New Roman"/>
          <w:sz w:val="28"/>
          <w:szCs w:val="28"/>
        </w:rPr>
        <w:t>Езикеева</w:t>
      </w:r>
      <w:proofErr w:type="spell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, Е. </w:t>
      </w:r>
      <w:proofErr w:type="spellStart"/>
      <w:r w:rsidRPr="00B61042">
        <w:rPr>
          <w:rFonts w:ascii="Times New Roman" w:eastAsia="Times New Roman" w:hAnsi="Times New Roman" w:cs="Times New Roman"/>
          <w:sz w:val="28"/>
          <w:szCs w:val="28"/>
        </w:rPr>
        <w:t>Радина</w:t>
      </w:r>
      <w:proofErr w:type="spellEnd"/>
      <w:r w:rsidRPr="00B61042">
        <w:rPr>
          <w:rFonts w:ascii="Times New Roman" w:eastAsia="Times New Roman" w:hAnsi="Times New Roman" w:cs="Times New Roman"/>
          <w:sz w:val="28"/>
          <w:szCs w:val="28"/>
        </w:rPr>
        <w:t xml:space="preserve">); «Спасаем мяч», «Катаем шары» (автор серии Е. Батурина) и др. Активизировать в речи детей существительные – название предметов быта, игрушек, животных, насекомых; прилагательные – название цвета предмета, их размер; глаголы и т. п. поможет учебно-наглядное пособие В. В. Гербовой «Развитие речи детей 2–4 лет» (М.: </w:t>
      </w:r>
      <w:proofErr w:type="spellStart"/>
      <w:r w:rsidRPr="00B61042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B61042">
        <w:rPr>
          <w:rFonts w:ascii="Times New Roman" w:eastAsia="Times New Roman" w:hAnsi="Times New Roman" w:cs="Times New Roman"/>
          <w:sz w:val="28"/>
          <w:szCs w:val="28"/>
        </w:rPr>
        <w:t>, 2002).</w:t>
      </w:r>
      <w:proofErr w:type="gramEnd"/>
    </w:p>
    <w:p w:rsidR="00B6125F" w:rsidRPr="00B61042" w:rsidRDefault="00B6125F" w:rsidP="00B6125F">
      <w:pPr>
        <w:shd w:val="clear" w:color="auto" w:fill="FFFFFF"/>
        <w:spacing w:after="0"/>
        <w:ind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42">
        <w:rPr>
          <w:rFonts w:ascii="Times New Roman" w:eastAsia="Times New Roman" w:hAnsi="Times New Roman" w:cs="Times New Roman"/>
          <w:sz w:val="28"/>
          <w:szCs w:val="28"/>
        </w:rPr>
        <w:t>Детей следует продолжать учить играм с куклой. В этих целях можно использовать игры «Купание куклы», «Уложим куклу спать», «Споем кукле колыбельную», «Покажем кукле картинки» и др. Такие игры дают детям возможность ощутить себя в положении другого, переживать его радости как свои.</w:t>
      </w:r>
    </w:p>
    <w:p w:rsidR="00D86724" w:rsidRDefault="00D86724"/>
    <w:sectPr w:rsidR="00D8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25F"/>
    <w:rsid w:val="00B6125F"/>
    <w:rsid w:val="00D8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Power</cp:lastModifiedBy>
  <cp:revision>2</cp:revision>
  <dcterms:created xsi:type="dcterms:W3CDTF">2018-04-04T20:25:00Z</dcterms:created>
  <dcterms:modified xsi:type="dcterms:W3CDTF">2018-04-04T20:25:00Z</dcterms:modified>
</cp:coreProperties>
</file>