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Календарный план работы 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по реализации инновационной деятельности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Обучение чтению детей с нарушениями </w:t>
      </w:r>
      <w:r>
        <w:rPr>
          <w:rFonts w:ascii="Times New Roman" w:hAnsi="Times New Roman"/>
          <w:sz w:val="28"/>
        </w:rPr>
        <w:t>речи, говорящих</w:t>
      </w:r>
      <w:r>
        <w:rPr>
          <w:rFonts w:ascii="Times New Roman" w:hAnsi="Times New Roman"/>
          <w:sz w:val="28"/>
        </w:rPr>
        <w:t xml:space="preserve">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</w:t>
      </w:r>
      <w:r>
        <w:rPr>
          <w:rFonts w:ascii="Times New Roman" w:hAnsi="Times New Roman"/>
          <w:sz w:val="28"/>
        </w:rPr>
        <w:t>».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Цель: </w:t>
      </w:r>
      <w:r>
        <w:rPr>
          <w:rFonts w:ascii="Times New Roman" w:hAnsi="Times New Roman"/>
          <w:sz w:val="28"/>
        </w:rPr>
        <w:t xml:space="preserve">изучить </w:t>
      </w:r>
      <w:r>
        <w:rPr>
          <w:rFonts w:ascii="Times New Roman" w:hAnsi="Times New Roman"/>
          <w:sz w:val="28"/>
        </w:rPr>
        <w:t>особенности обучения навыкам чтения детей до</w:t>
      </w:r>
      <w:r>
        <w:rPr>
          <w:rFonts w:ascii="Times New Roman" w:hAnsi="Times New Roman"/>
          <w:sz w:val="28"/>
        </w:rPr>
        <w:t>школьного возраста с речевыми расстройствами, говорящих на башкирском языке, и определить приоритетные эффективны</w:t>
      </w:r>
      <w:r>
        <w:rPr>
          <w:rFonts w:ascii="Times New Roman" w:hAnsi="Times New Roman"/>
          <w:sz w:val="28"/>
        </w:rPr>
        <w:t>е приемы логопедического воздействия</w:t>
      </w:r>
      <w:r>
        <w:rPr>
          <w:rFonts w:ascii="Times New Roman" w:hAnsi="Times New Roman"/>
          <w:sz w:val="28"/>
        </w:rPr>
        <w:t>.</w:t>
      </w: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601"/>
        <w:tblLayout w:type="fixed"/>
      </w:tblPr>
      <w:tblGrid>
        <w:gridCol w:w="851"/>
        <w:gridCol w:w="2380"/>
        <w:gridCol w:w="2137"/>
        <w:gridCol w:w="1578"/>
        <w:gridCol w:w="2142"/>
        <w:gridCol w:w="1260"/>
      </w:tblGrid>
      <w:tr>
        <w:tc>
          <w:tcPr>
            <w:tcW w:type="dxa" w:w="851"/>
            <w:vAlign w:val="center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2380"/>
            <w:vAlign w:val="center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этапа</w:t>
            </w:r>
          </w:p>
        </w:tc>
        <w:tc>
          <w:tcPr>
            <w:tcW w:type="dxa" w:w="2137"/>
            <w:vAlign w:val="center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Ожидаемый научно-методический </w:t>
            </w:r>
          </w:p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 практический результат</w:t>
            </w:r>
          </w:p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(по этапам инновационной работы)</w:t>
            </w:r>
          </w:p>
        </w:tc>
        <w:tc>
          <w:tcPr>
            <w:tcW w:type="dxa" w:w="1578"/>
            <w:vAlign w:val="center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База эксперимента</w:t>
            </w:r>
          </w:p>
        </w:tc>
        <w:tc>
          <w:tcPr>
            <w:tcW w:type="dxa" w:w="2142"/>
            <w:vAlign w:val="center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type="dxa" w:w="1260"/>
            <w:vAlign w:val="center"/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</w:tr>
      <w:tr>
        <w:trPr>
          <w:trHeight w:hRule="atLeast" w:val="1892"/>
        </w:trPr>
        <w:tc>
          <w:tcPr>
            <w:tcW w:type="dxa" w:w="851"/>
            <w:vMerge w:val="restart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380"/>
            <w:vMerge w:val="restart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Подготовительный </w:t>
            </w:r>
          </w:p>
        </w:tc>
        <w:tc>
          <w:tcPr>
            <w:tcW w:type="dxa" w:w="2137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на педагогическом совете ДОУ вопроса создания инновационной площадки</w:t>
            </w:r>
          </w:p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8"/>
            <w:vMerge w:val="restart"/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 д/с «Толпар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142"/>
            <w:vMerge w:val="restart"/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выявленных проблем, поиск и разработка гипотезы, целей, задач, содержания этапов эксперимента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60"/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2025 г.</w:t>
            </w:r>
          </w:p>
          <w:p w14:paraId="1B000000">
            <w:pPr>
              <w:rPr>
                <w:rFonts w:ascii="Times New Roman" w:hAnsi="Times New Roman"/>
                <w:sz w:val="24"/>
              </w:rPr>
            </w:pPr>
          </w:p>
          <w:p w14:paraId="1C000000">
            <w:pPr>
              <w:rPr>
                <w:rFonts w:ascii="Times New Roman" w:hAnsi="Times New Roman"/>
                <w:sz w:val="24"/>
              </w:rPr>
            </w:pPr>
          </w:p>
          <w:p w14:paraId="1D000000">
            <w:pPr>
              <w:rPr>
                <w:rFonts w:ascii="Times New Roman" w:hAnsi="Times New Roman"/>
                <w:sz w:val="24"/>
              </w:rPr>
            </w:pPr>
          </w:p>
          <w:p w14:paraId="1E000000">
            <w:pPr>
              <w:rPr>
                <w:rFonts w:ascii="Times New Roman" w:hAnsi="Times New Roman"/>
                <w:sz w:val="24"/>
              </w:rPr>
            </w:pPr>
          </w:p>
          <w:p w14:paraId="1F000000">
            <w:pPr>
              <w:rPr>
                <w:rFonts w:ascii="Times New Roman" w:hAnsi="Times New Roman"/>
                <w:sz w:val="24"/>
              </w:rPr>
            </w:pPr>
          </w:p>
          <w:p w14:paraId="20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96"/>
        </w:trPr>
        <w:tc>
          <w:tcPr>
            <w:tcW w:type="dxa" w:w="851"/>
            <w:gridSpan w:val="1"/>
            <w:vMerge w:val="continue"/>
          </w:tcPr>
          <w:p/>
        </w:tc>
        <w:tc>
          <w:tcPr>
            <w:tcW w:type="dxa" w:w="2380"/>
            <w:gridSpan w:val="1"/>
            <w:vMerge w:val="continue"/>
          </w:tcPr>
          <w:p/>
        </w:tc>
        <w:tc>
          <w:tcPr>
            <w:tcW w:type="dxa" w:w="2137"/>
          </w:tcPr>
          <w:p w14:paraId="21000000">
            <w:pPr>
              <w:rPr>
                <w:rFonts w:ascii="Times New Roman" w:hAnsi="Times New Roman"/>
                <w:sz w:val="24"/>
              </w:rPr>
            </w:pPr>
          </w:p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решения о сотрудничестве с БГПУ им. М. Акмуллы о создании экспериментальной площадки</w:t>
            </w:r>
          </w:p>
        </w:tc>
        <w:tc>
          <w:tcPr>
            <w:tcW w:type="dxa" w:w="1578"/>
            <w:gridSpan w:val="1"/>
            <w:vMerge w:val="continue"/>
          </w:tcPr>
          <w:p/>
        </w:tc>
        <w:tc>
          <w:tcPr>
            <w:tcW w:type="dxa" w:w="2142"/>
            <w:gridSpan w:val="1"/>
            <w:vMerge w:val="continue"/>
          </w:tcPr>
          <w:p/>
        </w:tc>
        <w:tc>
          <w:tcPr>
            <w:tcW w:type="dxa" w:w="1260"/>
          </w:tcPr>
          <w:p w14:paraId="23000000">
            <w:pPr>
              <w:rPr>
                <w:rFonts w:ascii="Times New Roman" w:hAnsi="Times New Roman"/>
                <w:sz w:val="24"/>
              </w:rPr>
            </w:pPr>
          </w:p>
          <w:p w14:paraId="24000000">
            <w:pPr>
              <w:rPr>
                <w:rFonts w:ascii="Times New Roman" w:hAnsi="Times New Roman"/>
                <w:sz w:val="24"/>
              </w:rPr>
            </w:pPr>
          </w:p>
          <w:p w14:paraId="25000000">
            <w:pPr>
              <w:rPr>
                <w:rFonts w:ascii="Times New Roman" w:hAnsi="Times New Roman"/>
                <w:sz w:val="24"/>
              </w:rPr>
            </w:pP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 2025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>
        <w:trPr>
          <w:trHeight w:hRule="atLeast" w:val="982"/>
        </w:trPr>
        <w:tc>
          <w:tcPr>
            <w:tcW w:type="dxa" w:w="851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380"/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Организационный </w:t>
            </w:r>
          </w:p>
        </w:tc>
        <w:tc>
          <w:tcPr>
            <w:tcW w:type="dxa" w:w="2137"/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документации</w:t>
            </w:r>
            <w:r>
              <w:rPr>
                <w:rFonts w:ascii="Times New Roman" w:hAnsi="Times New Roman"/>
                <w:sz w:val="24"/>
              </w:rPr>
              <w:t xml:space="preserve"> к открытию</w:t>
            </w:r>
            <w:r>
              <w:rPr>
                <w:rFonts w:ascii="Times New Roman" w:hAnsi="Times New Roman"/>
                <w:sz w:val="24"/>
              </w:rPr>
              <w:t xml:space="preserve">  инновационной  площадки</w:t>
            </w:r>
          </w:p>
        </w:tc>
        <w:tc>
          <w:tcPr>
            <w:tcW w:type="dxa" w:w="1578"/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 д/с «Толпар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142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координационног</w:t>
            </w:r>
            <w:r>
              <w:rPr>
                <w:rFonts w:ascii="Times New Roman" w:hAnsi="Times New Roman"/>
                <w:sz w:val="24"/>
              </w:rPr>
              <w:t>о совета по подготовке  разработки концепции  и программы инновационной деятельности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C000000">
            <w:pPr>
              <w:rPr>
                <w:rFonts w:ascii="Times New Roman" w:hAnsi="Times New Roman"/>
                <w:sz w:val="24"/>
              </w:rPr>
            </w:pPr>
          </w:p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Информация на </w:t>
            </w:r>
            <w:r>
              <w:rPr>
                <w:rFonts w:ascii="Times New Roman" w:hAnsi="Times New Roman"/>
                <w:sz w:val="24"/>
              </w:rPr>
              <w:t>совете отдела образования о создании инновационной площадки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E000000">
            <w:pPr>
              <w:rPr>
                <w:rFonts w:ascii="Times New Roman" w:hAnsi="Times New Roman"/>
                <w:sz w:val="24"/>
              </w:rPr>
            </w:pPr>
          </w:p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Выработка тактики организации инновационной работы (создание локальных актов по управлению экспериментом)</w:t>
            </w:r>
          </w:p>
          <w:p w14:paraId="30000000">
            <w:pPr>
              <w:rPr>
                <w:rFonts w:ascii="Times New Roman" w:hAnsi="Times New Roman"/>
                <w:sz w:val="24"/>
              </w:rPr>
            </w:pP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Анкетирование </w:t>
            </w:r>
          </w:p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родителей.</w:t>
            </w:r>
          </w:p>
          <w:p w14:paraId="33000000">
            <w:pPr>
              <w:rPr>
                <w:rFonts w:ascii="Times New Roman" w:hAnsi="Times New Roman"/>
                <w:sz w:val="24"/>
              </w:rPr>
            </w:pPr>
          </w:p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z w:val="24"/>
              </w:rPr>
              <w:t xml:space="preserve">зработка методики </w:t>
            </w:r>
            <w:r>
              <w:rPr>
                <w:rFonts w:ascii="Times New Roman" w:hAnsi="Times New Roman"/>
                <w:sz w:val="24"/>
              </w:rPr>
              <w:t xml:space="preserve">обследования </w:t>
            </w:r>
            <w:r>
              <w:rPr>
                <w:rFonts w:ascii="Times New Roman" w:hAnsi="Times New Roman"/>
                <w:sz w:val="24"/>
              </w:rPr>
              <w:t xml:space="preserve">предпосылок  формирования навыков чтения у </w:t>
            </w:r>
            <w:r>
              <w:rPr>
                <w:rFonts w:ascii="Times New Roman" w:hAnsi="Times New Roman"/>
                <w:sz w:val="24"/>
              </w:rPr>
              <w:t xml:space="preserve"> детей с нарушениями речи, говорящих на родном языке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</w:p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обследования, анализ результатов констатирующего эксперимента.</w:t>
            </w:r>
          </w:p>
          <w:p w14:paraId="37000000">
            <w:pPr>
              <w:rPr>
                <w:rFonts w:ascii="Times New Roman" w:hAnsi="Times New Roman"/>
                <w:sz w:val="24"/>
              </w:rPr>
            </w:pPr>
          </w:p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программы по обучению </w:t>
            </w:r>
            <w:r>
              <w:rPr>
                <w:rFonts w:ascii="Times New Roman" w:hAnsi="Times New Roman"/>
                <w:sz w:val="24"/>
              </w:rPr>
              <w:t>чтению детей с нарушениями речи, говорящих на родном языке.</w:t>
            </w:r>
          </w:p>
          <w:p w14:paraId="39000000">
            <w:pPr>
              <w:rPr>
                <w:rFonts w:ascii="Times New Roman" w:hAnsi="Times New Roman"/>
                <w:sz w:val="24"/>
              </w:rPr>
            </w:pPr>
          </w:p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формирующего эксперимента – обучение чтению</w:t>
            </w:r>
            <w:r>
              <w:rPr>
                <w:rFonts w:ascii="Times New Roman" w:hAnsi="Times New Roman"/>
                <w:sz w:val="24"/>
              </w:rPr>
              <w:t xml:space="preserve"> детей с нарушениями речи, говорящих</w:t>
            </w:r>
            <w:r>
              <w:rPr>
                <w:rFonts w:ascii="Times New Roman" w:hAnsi="Times New Roman"/>
                <w:sz w:val="24"/>
              </w:rPr>
              <w:t xml:space="preserve"> на родном </w:t>
            </w:r>
            <w:r>
              <w:rPr>
                <w:rFonts w:ascii="Times New Roman" w:hAnsi="Times New Roman"/>
                <w:sz w:val="24"/>
              </w:rPr>
              <w:t>(башкирском) языке</w:t>
            </w:r>
          </w:p>
        </w:tc>
        <w:tc>
          <w:tcPr>
            <w:tcW w:type="dxa" w:w="1260"/>
          </w:tcPr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 2025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3C000000">
            <w:pPr>
              <w:rPr>
                <w:rFonts w:ascii="Times New Roman" w:hAnsi="Times New Roman"/>
                <w:sz w:val="24"/>
              </w:rPr>
            </w:pPr>
          </w:p>
          <w:p w14:paraId="3D000000">
            <w:pPr>
              <w:rPr>
                <w:rFonts w:ascii="Times New Roman" w:hAnsi="Times New Roman"/>
                <w:sz w:val="24"/>
              </w:rPr>
            </w:pPr>
          </w:p>
          <w:p w14:paraId="3E000000">
            <w:pPr>
              <w:rPr>
                <w:rFonts w:ascii="Times New Roman" w:hAnsi="Times New Roman"/>
                <w:sz w:val="24"/>
              </w:rPr>
            </w:pPr>
          </w:p>
          <w:p w14:paraId="3F000000">
            <w:pPr>
              <w:rPr>
                <w:rFonts w:ascii="Times New Roman" w:hAnsi="Times New Roman"/>
                <w:sz w:val="24"/>
              </w:rPr>
            </w:pPr>
          </w:p>
          <w:p w14:paraId="40000000">
            <w:pPr>
              <w:rPr>
                <w:rFonts w:ascii="Times New Roman" w:hAnsi="Times New Roman"/>
                <w:sz w:val="24"/>
              </w:rPr>
            </w:pPr>
          </w:p>
          <w:p w14:paraId="41000000">
            <w:pPr>
              <w:rPr>
                <w:rFonts w:ascii="Times New Roman" w:hAnsi="Times New Roman"/>
                <w:sz w:val="24"/>
              </w:rPr>
            </w:pPr>
          </w:p>
          <w:p w14:paraId="42000000">
            <w:pPr>
              <w:rPr>
                <w:rFonts w:ascii="Times New Roman" w:hAnsi="Times New Roman"/>
                <w:sz w:val="24"/>
              </w:rPr>
            </w:pPr>
          </w:p>
          <w:p w14:paraId="43000000">
            <w:pPr>
              <w:rPr>
                <w:rFonts w:ascii="Times New Roman" w:hAnsi="Times New Roman"/>
                <w:sz w:val="24"/>
              </w:rPr>
            </w:pPr>
          </w:p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 </w:t>
            </w:r>
            <w:r>
              <w:rPr>
                <w:rFonts w:ascii="Times New Roman" w:hAnsi="Times New Roman"/>
                <w:sz w:val="24"/>
              </w:rPr>
              <w:t xml:space="preserve">2025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45000000">
            <w:pPr>
              <w:rPr>
                <w:rFonts w:ascii="Times New Roman" w:hAnsi="Times New Roman"/>
                <w:sz w:val="24"/>
              </w:rPr>
            </w:pPr>
          </w:p>
          <w:p w14:paraId="46000000">
            <w:pPr>
              <w:rPr>
                <w:rFonts w:ascii="Times New Roman" w:hAnsi="Times New Roman"/>
                <w:sz w:val="24"/>
              </w:rPr>
            </w:pPr>
          </w:p>
          <w:p w14:paraId="47000000">
            <w:pPr>
              <w:rPr>
                <w:rFonts w:ascii="Times New Roman" w:hAnsi="Times New Roman"/>
                <w:sz w:val="24"/>
              </w:rPr>
            </w:pPr>
          </w:p>
          <w:p w14:paraId="48000000">
            <w:pPr>
              <w:rPr>
                <w:rFonts w:ascii="Times New Roman" w:hAnsi="Times New Roman"/>
                <w:sz w:val="24"/>
              </w:rPr>
            </w:pPr>
          </w:p>
          <w:p w14:paraId="49000000">
            <w:pPr>
              <w:rPr>
                <w:rFonts w:ascii="Times New Roman" w:hAnsi="Times New Roman"/>
                <w:sz w:val="24"/>
              </w:rPr>
            </w:pPr>
          </w:p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  <w:r>
              <w:rPr>
                <w:rFonts w:ascii="Times New Roman" w:hAnsi="Times New Roman"/>
                <w:sz w:val="24"/>
              </w:rPr>
              <w:t xml:space="preserve"> 2025 </w:t>
            </w:r>
          </w:p>
          <w:p w14:paraId="4B000000">
            <w:pPr>
              <w:rPr>
                <w:rFonts w:ascii="Times New Roman" w:hAnsi="Times New Roman"/>
                <w:sz w:val="24"/>
              </w:rPr>
            </w:pPr>
          </w:p>
          <w:p w14:paraId="4C000000">
            <w:pPr>
              <w:rPr>
                <w:rFonts w:ascii="Times New Roman" w:hAnsi="Times New Roman"/>
                <w:sz w:val="24"/>
              </w:rPr>
            </w:pPr>
          </w:p>
          <w:p w14:paraId="4D000000">
            <w:pPr>
              <w:rPr>
                <w:rFonts w:ascii="Times New Roman" w:hAnsi="Times New Roman"/>
                <w:sz w:val="24"/>
              </w:rPr>
            </w:pPr>
          </w:p>
          <w:p w14:paraId="4E000000">
            <w:pPr>
              <w:rPr>
                <w:rFonts w:ascii="Times New Roman" w:hAnsi="Times New Roman"/>
                <w:sz w:val="24"/>
              </w:rPr>
            </w:pPr>
          </w:p>
          <w:p w14:paraId="4F000000">
            <w:pPr>
              <w:rPr>
                <w:rFonts w:ascii="Times New Roman" w:hAnsi="Times New Roman"/>
                <w:sz w:val="24"/>
              </w:rPr>
            </w:pPr>
          </w:p>
          <w:p w14:paraId="50000000">
            <w:pPr>
              <w:rPr>
                <w:rFonts w:ascii="Times New Roman" w:hAnsi="Times New Roman"/>
                <w:sz w:val="24"/>
              </w:rPr>
            </w:pPr>
          </w:p>
          <w:p w14:paraId="51000000">
            <w:pPr>
              <w:rPr>
                <w:rFonts w:ascii="Times New Roman" w:hAnsi="Times New Roman"/>
                <w:sz w:val="24"/>
              </w:rPr>
            </w:pPr>
          </w:p>
          <w:p w14:paraId="52000000">
            <w:pPr>
              <w:rPr>
                <w:rFonts w:ascii="Times New Roman" w:hAnsi="Times New Roman"/>
                <w:sz w:val="24"/>
              </w:rPr>
            </w:pPr>
          </w:p>
          <w:p w14:paraId="53000000">
            <w:pPr>
              <w:rPr>
                <w:rFonts w:ascii="Times New Roman" w:hAnsi="Times New Roman"/>
                <w:sz w:val="24"/>
              </w:rPr>
            </w:pPr>
          </w:p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2025 </w:t>
            </w:r>
          </w:p>
          <w:p w14:paraId="55000000">
            <w:pPr>
              <w:rPr>
                <w:rFonts w:ascii="Times New Roman" w:hAnsi="Times New Roman"/>
                <w:sz w:val="24"/>
              </w:rPr>
            </w:pPr>
          </w:p>
          <w:p w14:paraId="56000000">
            <w:pPr>
              <w:rPr>
                <w:rFonts w:ascii="Times New Roman" w:hAnsi="Times New Roman"/>
                <w:sz w:val="24"/>
              </w:rPr>
            </w:pPr>
          </w:p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  <w:r>
              <w:rPr>
                <w:rFonts w:ascii="Times New Roman" w:hAnsi="Times New Roman"/>
                <w:sz w:val="24"/>
              </w:rPr>
              <w:t xml:space="preserve">  2025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58000000">
            <w:pPr>
              <w:rPr>
                <w:rFonts w:ascii="Times New Roman" w:hAnsi="Times New Roman"/>
                <w:sz w:val="24"/>
              </w:rPr>
            </w:pPr>
          </w:p>
          <w:p w14:paraId="59000000">
            <w:pPr>
              <w:rPr>
                <w:rFonts w:ascii="Times New Roman" w:hAnsi="Times New Roman"/>
                <w:sz w:val="24"/>
              </w:rPr>
            </w:pPr>
          </w:p>
          <w:p w14:paraId="5A000000">
            <w:pPr>
              <w:rPr>
                <w:rFonts w:ascii="Times New Roman" w:hAnsi="Times New Roman"/>
                <w:sz w:val="24"/>
              </w:rPr>
            </w:pPr>
          </w:p>
          <w:p w14:paraId="5B000000">
            <w:pPr>
              <w:rPr>
                <w:rFonts w:ascii="Times New Roman" w:hAnsi="Times New Roman"/>
                <w:sz w:val="24"/>
              </w:rPr>
            </w:pPr>
          </w:p>
          <w:p w14:paraId="5C000000">
            <w:pPr>
              <w:rPr>
                <w:rFonts w:ascii="Times New Roman" w:hAnsi="Times New Roman"/>
                <w:sz w:val="24"/>
              </w:rPr>
            </w:pPr>
          </w:p>
          <w:p w14:paraId="5D000000">
            <w:pPr>
              <w:rPr>
                <w:rFonts w:ascii="Times New Roman" w:hAnsi="Times New Roman"/>
                <w:sz w:val="24"/>
              </w:rPr>
            </w:pPr>
          </w:p>
          <w:p w14:paraId="5E000000">
            <w:pPr>
              <w:rPr>
                <w:rFonts w:ascii="Times New Roman" w:hAnsi="Times New Roman"/>
                <w:sz w:val="24"/>
              </w:rPr>
            </w:pPr>
          </w:p>
          <w:p w14:paraId="5F000000">
            <w:pPr>
              <w:rPr>
                <w:rFonts w:ascii="Times New Roman" w:hAnsi="Times New Roman"/>
                <w:sz w:val="24"/>
              </w:rPr>
            </w:pPr>
          </w:p>
          <w:p w14:paraId="60000000">
            <w:pPr>
              <w:rPr>
                <w:rFonts w:ascii="Times New Roman" w:hAnsi="Times New Roman"/>
                <w:sz w:val="24"/>
              </w:rPr>
            </w:pPr>
          </w:p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октябрь-ноябрь</w:t>
            </w:r>
            <w:r>
              <w:rPr>
                <w:rFonts w:ascii="Times New Roman" w:hAnsi="Times New Roman"/>
                <w:sz w:val="24"/>
              </w:rPr>
              <w:t xml:space="preserve">  2025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62000000">
            <w:pPr>
              <w:rPr>
                <w:rFonts w:ascii="Times New Roman" w:hAnsi="Times New Roman"/>
                <w:sz w:val="24"/>
              </w:rPr>
            </w:pPr>
          </w:p>
          <w:p w14:paraId="63000000">
            <w:pPr>
              <w:rPr>
                <w:rFonts w:ascii="Times New Roman" w:hAnsi="Times New Roman"/>
                <w:sz w:val="24"/>
              </w:rPr>
            </w:pPr>
          </w:p>
          <w:p w14:paraId="64000000">
            <w:pPr>
              <w:rPr>
                <w:rFonts w:ascii="Times New Roman" w:hAnsi="Times New Roman"/>
                <w:sz w:val="24"/>
              </w:rPr>
            </w:pPr>
          </w:p>
          <w:p w14:paraId="65000000">
            <w:pPr>
              <w:rPr>
                <w:rFonts w:ascii="Times New Roman" w:hAnsi="Times New Roman"/>
                <w:sz w:val="24"/>
              </w:rPr>
            </w:pPr>
          </w:p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  <w:r>
              <w:rPr>
                <w:rFonts w:ascii="Times New Roman" w:hAnsi="Times New Roman"/>
                <w:sz w:val="24"/>
              </w:rPr>
              <w:t>-июнь 2026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67000000">
            <w:pPr>
              <w:rPr>
                <w:rFonts w:ascii="Times New Roman" w:hAnsi="Times New Roman"/>
                <w:sz w:val="24"/>
              </w:rPr>
            </w:pPr>
          </w:p>
          <w:p w14:paraId="68000000">
            <w:pPr>
              <w:rPr>
                <w:rFonts w:ascii="Times New Roman" w:hAnsi="Times New Roman"/>
                <w:sz w:val="24"/>
              </w:rPr>
            </w:pPr>
          </w:p>
          <w:p w14:paraId="69000000">
            <w:pPr>
              <w:rPr>
                <w:rFonts w:ascii="Times New Roman" w:hAnsi="Times New Roman"/>
                <w:sz w:val="24"/>
              </w:rPr>
            </w:pPr>
          </w:p>
          <w:p w14:paraId="6A000000">
            <w:pPr>
              <w:rPr>
                <w:rFonts w:ascii="Times New Roman" w:hAnsi="Times New Roman"/>
                <w:sz w:val="24"/>
              </w:rPr>
            </w:pPr>
          </w:p>
          <w:p w14:paraId="6B000000">
            <w:pPr>
              <w:rPr>
                <w:rFonts w:ascii="Times New Roman" w:hAnsi="Times New Roman"/>
                <w:sz w:val="24"/>
              </w:rPr>
            </w:pPr>
          </w:p>
          <w:p w14:paraId="6C000000">
            <w:pPr>
              <w:rPr>
                <w:rFonts w:ascii="Times New Roman" w:hAnsi="Times New Roman"/>
                <w:sz w:val="24"/>
              </w:rPr>
            </w:pPr>
          </w:p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2026 г. март 2027 г.</w:t>
            </w:r>
          </w:p>
        </w:tc>
      </w:tr>
      <w:tr>
        <w:tc>
          <w:tcPr>
            <w:tcW w:type="dxa" w:w="851"/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380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Обобщающий </w:t>
            </w:r>
          </w:p>
        </w:tc>
        <w:tc>
          <w:tcPr>
            <w:tcW w:type="dxa" w:w="2137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результатов инновационной работы</w:t>
            </w:r>
          </w:p>
        </w:tc>
        <w:tc>
          <w:tcPr>
            <w:tcW w:type="dxa" w:w="1578"/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 д/с «Толпар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142"/>
          </w:tcPr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Отчеты о проведении инновационной работы (промежуточный и итоговый)</w:t>
            </w:r>
          </w:p>
          <w:p w14:paraId="73000000">
            <w:pPr>
              <w:rPr>
                <w:rFonts w:ascii="Times New Roman" w:hAnsi="Times New Roman"/>
                <w:sz w:val="24"/>
              </w:rPr>
            </w:pPr>
          </w:p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докладов к педсоветам, педагогическим чтениям, мастер-классам, научно-практическим конференциям и т.д.</w:t>
            </w:r>
          </w:p>
          <w:p w14:paraId="75000000">
            <w:pPr>
              <w:rPr>
                <w:rFonts w:ascii="Times New Roman" w:hAnsi="Times New Roman"/>
                <w:sz w:val="24"/>
              </w:rPr>
            </w:pPr>
          </w:p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публикаций для научных и информационных изданий</w:t>
            </w:r>
          </w:p>
          <w:p w14:paraId="77000000">
            <w:pPr>
              <w:rPr>
                <w:rFonts w:ascii="Times New Roman" w:hAnsi="Times New Roman"/>
                <w:sz w:val="24"/>
              </w:rPr>
            </w:pPr>
          </w:p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издание учебно-методических пособий</w:t>
            </w:r>
          </w:p>
          <w:p w14:paraId="79000000">
            <w:pPr>
              <w:rPr>
                <w:rFonts w:ascii="Times New Roman" w:hAnsi="Times New Roman"/>
                <w:sz w:val="24"/>
              </w:rPr>
            </w:pPr>
          </w:p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Подготовка, утверждение и апробация учебных программ, планов и методических рекомендаций</w:t>
            </w:r>
          </w:p>
        </w:tc>
        <w:tc>
          <w:tcPr>
            <w:tcW w:type="dxa" w:w="1260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оябрь</w:t>
            </w:r>
            <w:r>
              <w:rPr>
                <w:rFonts w:ascii="Times New Roman" w:hAnsi="Times New Roman"/>
                <w:sz w:val="24"/>
              </w:rPr>
              <w:t xml:space="preserve"> каждого года</w:t>
            </w:r>
          </w:p>
          <w:p w14:paraId="7C000000">
            <w:pPr>
              <w:rPr>
                <w:rFonts w:ascii="Times New Roman" w:hAnsi="Times New Roman"/>
                <w:sz w:val="24"/>
              </w:rPr>
            </w:pPr>
          </w:p>
          <w:p w14:paraId="7D000000">
            <w:pPr>
              <w:rPr>
                <w:rFonts w:ascii="Times New Roman" w:hAnsi="Times New Roman"/>
                <w:sz w:val="24"/>
              </w:rPr>
            </w:pPr>
          </w:p>
          <w:p w14:paraId="7E000000">
            <w:pPr>
              <w:rPr>
                <w:rFonts w:ascii="Times New Roman" w:hAnsi="Times New Roman"/>
                <w:sz w:val="24"/>
              </w:rPr>
            </w:pPr>
          </w:p>
          <w:p w14:paraId="7F000000">
            <w:pPr>
              <w:rPr>
                <w:rFonts w:ascii="Times New Roman" w:hAnsi="Times New Roman"/>
                <w:sz w:val="24"/>
              </w:rPr>
            </w:pPr>
          </w:p>
          <w:p w14:paraId="80000000">
            <w:pPr>
              <w:rPr>
                <w:rFonts w:ascii="Times New Roman" w:hAnsi="Times New Roman"/>
                <w:sz w:val="24"/>
              </w:rPr>
            </w:pPr>
          </w:p>
          <w:p w14:paraId="81000000">
            <w:pPr>
              <w:rPr>
                <w:rFonts w:ascii="Times New Roman" w:hAnsi="Times New Roman"/>
                <w:sz w:val="24"/>
              </w:rPr>
            </w:pPr>
          </w:p>
          <w:p w14:paraId="82000000">
            <w:pPr>
              <w:rPr>
                <w:rFonts w:ascii="Times New Roman" w:hAnsi="Times New Roman"/>
                <w:sz w:val="24"/>
              </w:rPr>
            </w:pPr>
          </w:p>
          <w:p w14:paraId="83000000">
            <w:pPr>
              <w:rPr>
                <w:rFonts w:ascii="Times New Roman" w:hAnsi="Times New Roman"/>
                <w:sz w:val="24"/>
              </w:rPr>
            </w:pPr>
          </w:p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мере необхо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димости</w:t>
            </w:r>
          </w:p>
          <w:p w14:paraId="85000000">
            <w:pPr>
              <w:rPr>
                <w:rFonts w:ascii="Times New Roman" w:hAnsi="Times New Roman"/>
                <w:sz w:val="24"/>
              </w:rPr>
            </w:pPr>
          </w:p>
          <w:p w14:paraId="86000000">
            <w:pPr>
              <w:rPr>
                <w:rFonts w:ascii="Times New Roman" w:hAnsi="Times New Roman"/>
                <w:sz w:val="24"/>
              </w:rPr>
            </w:pPr>
          </w:p>
          <w:p w14:paraId="87000000">
            <w:pPr>
              <w:rPr>
                <w:rFonts w:ascii="Times New Roman" w:hAnsi="Times New Roman"/>
                <w:sz w:val="24"/>
              </w:rPr>
            </w:pPr>
          </w:p>
          <w:p w14:paraId="88000000">
            <w:pPr>
              <w:rPr>
                <w:rFonts w:ascii="Times New Roman" w:hAnsi="Times New Roman"/>
                <w:sz w:val="24"/>
              </w:rPr>
            </w:pPr>
          </w:p>
          <w:p w14:paraId="89000000">
            <w:pPr>
              <w:rPr>
                <w:rFonts w:ascii="Times New Roman" w:hAnsi="Times New Roman"/>
                <w:sz w:val="24"/>
              </w:rPr>
            </w:pPr>
          </w:p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2025-2027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</w:t>
            </w:r>
          </w:p>
          <w:p w14:paraId="8B000000">
            <w:pPr>
              <w:rPr>
                <w:rFonts w:ascii="Times New Roman" w:hAnsi="Times New Roman"/>
                <w:sz w:val="24"/>
              </w:rPr>
            </w:pPr>
          </w:p>
          <w:p w14:paraId="8C000000">
            <w:pPr>
              <w:rPr>
                <w:rFonts w:ascii="Times New Roman" w:hAnsi="Times New Roman"/>
                <w:sz w:val="24"/>
              </w:rPr>
            </w:pPr>
          </w:p>
          <w:p w14:paraId="8D000000">
            <w:pPr>
              <w:rPr>
                <w:rFonts w:ascii="Times New Roman" w:hAnsi="Times New Roman"/>
                <w:sz w:val="24"/>
              </w:rPr>
            </w:pPr>
          </w:p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6-2027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</w:t>
            </w:r>
          </w:p>
          <w:p w14:paraId="8F000000">
            <w:pPr>
              <w:rPr>
                <w:rFonts w:ascii="Times New Roman" w:hAnsi="Times New Roman"/>
                <w:sz w:val="24"/>
              </w:rPr>
            </w:pPr>
          </w:p>
          <w:p w14:paraId="90000000">
            <w:pPr>
              <w:rPr>
                <w:rFonts w:ascii="Times New Roman" w:hAnsi="Times New Roman"/>
                <w:sz w:val="24"/>
              </w:rPr>
            </w:pPr>
          </w:p>
          <w:p w14:paraId="91000000">
            <w:pPr>
              <w:rPr>
                <w:rFonts w:ascii="Times New Roman" w:hAnsi="Times New Roman"/>
                <w:sz w:val="24"/>
              </w:rPr>
            </w:pPr>
          </w:p>
          <w:p w14:paraId="92000000">
            <w:pPr>
              <w:rPr>
                <w:rFonts w:ascii="Times New Roman" w:hAnsi="Times New Roman"/>
                <w:sz w:val="24"/>
              </w:rPr>
            </w:pPr>
          </w:p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</w:t>
            </w:r>
          </w:p>
          <w:p w14:paraId="94000000">
            <w:pPr>
              <w:rPr>
                <w:rFonts w:ascii="Times New Roman" w:hAnsi="Times New Roman"/>
                <w:sz w:val="24"/>
              </w:rPr>
            </w:pPr>
          </w:p>
          <w:p w14:paraId="9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380"/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Внедренческий </w:t>
            </w:r>
          </w:p>
        </w:tc>
        <w:tc>
          <w:tcPr>
            <w:tcW w:type="dxa" w:w="2137"/>
          </w:tcPr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педагогического опыта на научно-практических конференциях, семинарах и вебинарах различного уровня</w:t>
            </w:r>
          </w:p>
        </w:tc>
        <w:tc>
          <w:tcPr>
            <w:tcW w:type="dxa" w:w="1578"/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д/с «Толпар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142"/>
          </w:tcPr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курсов повышения квалификации для педагогических работников ДОУ</w:t>
            </w:r>
          </w:p>
          <w:p w14:paraId="9B000000">
            <w:pPr>
              <w:rPr>
                <w:rFonts w:ascii="Times New Roman" w:hAnsi="Times New Roman"/>
                <w:sz w:val="24"/>
              </w:rPr>
            </w:pPr>
          </w:p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конференциях, научно-практических семин</w:t>
            </w:r>
            <w:r>
              <w:rPr>
                <w:rFonts w:ascii="Times New Roman" w:hAnsi="Times New Roman"/>
                <w:sz w:val="24"/>
              </w:rPr>
              <w:t xml:space="preserve">арах на уровне района, </w:t>
            </w:r>
            <w:r>
              <w:rPr>
                <w:rFonts w:ascii="Times New Roman" w:hAnsi="Times New Roman"/>
                <w:sz w:val="24"/>
              </w:rPr>
              <w:t>города, Р</w:t>
            </w:r>
            <w:r>
              <w:rPr>
                <w:rFonts w:ascii="Times New Roman" w:hAnsi="Times New Roman"/>
                <w:sz w:val="24"/>
              </w:rPr>
              <w:t>еспублики, РФ</w:t>
            </w:r>
          </w:p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реко</w:t>
            </w:r>
            <w:r>
              <w:rPr>
                <w:rFonts w:ascii="Times New Roman" w:hAnsi="Times New Roman"/>
                <w:sz w:val="24"/>
              </w:rPr>
              <w:t xml:space="preserve">мендаций по внедрению программ, учебно-методических пособий </w:t>
            </w:r>
            <w:r>
              <w:rPr>
                <w:rFonts w:ascii="Times New Roman" w:hAnsi="Times New Roman"/>
                <w:sz w:val="24"/>
              </w:rPr>
              <w:t>в деятельность ДОО РБ</w:t>
            </w:r>
          </w:p>
        </w:tc>
        <w:tc>
          <w:tcPr>
            <w:tcW w:type="dxa" w:w="1260"/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</w:t>
            </w:r>
          </w:p>
          <w:p w14:paraId="9F000000">
            <w:pPr>
              <w:rPr>
                <w:rFonts w:ascii="Times New Roman" w:hAnsi="Times New Roman"/>
                <w:sz w:val="24"/>
              </w:rPr>
            </w:pPr>
          </w:p>
          <w:p w14:paraId="A0000000">
            <w:pPr>
              <w:rPr>
                <w:rFonts w:ascii="Times New Roman" w:hAnsi="Times New Roman"/>
                <w:sz w:val="24"/>
              </w:rPr>
            </w:pPr>
          </w:p>
          <w:p w14:paraId="A1000000">
            <w:pPr>
              <w:rPr>
                <w:rFonts w:ascii="Times New Roman" w:hAnsi="Times New Roman"/>
                <w:sz w:val="24"/>
              </w:rPr>
            </w:pPr>
          </w:p>
          <w:p w14:paraId="A2000000">
            <w:pPr>
              <w:rPr>
                <w:rFonts w:ascii="Times New Roman" w:hAnsi="Times New Roman"/>
                <w:sz w:val="24"/>
              </w:rPr>
            </w:pPr>
          </w:p>
          <w:p w14:paraId="A3000000">
            <w:pPr>
              <w:rPr>
                <w:rFonts w:ascii="Times New Roman" w:hAnsi="Times New Roman"/>
                <w:sz w:val="24"/>
              </w:rPr>
            </w:pPr>
          </w:p>
          <w:p w14:paraId="A4000000">
            <w:pPr>
              <w:rPr>
                <w:rFonts w:ascii="Times New Roman" w:hAnsi="Times New Roman"/>
                <w:sz w:val="24"/>
              </w:rPr>
            </w:pPr>
          </w:p>
          <w:p w14:paraId="A5000000">
            <w:pPr>
              <w:rPr>
                <w:rFonts w:ascii="Times New Roman" w:hAnsi="Times New Roman"/>
                <w:sz w:val="24"/>
              </w:rPr>
            </w:pPr>
          </w:p>
          <w:p w14:paraId="A6000000">
            <w:pPr>
              <w:rPr>
                <w:rFonts w:ascii="Times New Roman" w:hAnsi="Times New Roman"/>
                <w:sz w:val="24"/>
              </w:rPr>
            </w:pPr>
          </w:p>
          <w:p w14:paraId="A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25-2027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</w:t>
            </w:r>
          </w:p>
        </w:tc>
      </w:tr>
    </w:tbl>
    <w:p w14:paraId="A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Заведующий МАДОУ </w:t>
      </w:r>
    </w:p>
    <w:p w14:paraId="A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д/с «Толпар</w:t>
      </w:r>
      <w:r>
        <w:rPr>
          <w:rFonts w:ascii="Times New Roman" w:hAnsi="Times New Roman"/>
          <w:sz w:val="28"/>
        </w:rPr>
        <w:t xml:space="preserve">»     </w:t>
      </w:r>
      <w:r>
        <w:rPr>
          <w:rFonts w:ascii="Times New Roman" w:hAnsi="Times New Roman"/>
          <w:sz w:val="28"/>
        </w:rPr>
        <w:t xml:space="preserve">                    __________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Сагинбаева Р.Р.</w:t>
      </w:r>
      <w:r>
        <w:rPr>
          <w:rFonts w:ascii="Times New Roman" w:hAnsi="Times New Roman"/>
          <w:sz w:val="28"/>
        </w:rPr>
        <w:t xml:space="preserve">        </w:t>
      </w:r>
    </w:p>
    <w:p w14:paraId="AD000000">
      <w:pPr>
        <w:rPr>
          <w:rFonts w:ascii="Times New Roman" w:hAnsi="Times New Roman"/>
          <w:sz w:val="28"/>
        </w:rPr>
      </w:pPr>
    </w:p>
    <w:p w14:paraId="AE000000">
      <w:pPr>
        <w:rPr>
          <w:rFonts w:ascii="Times New Roman" w:hAnsi="Times New Roman"/>
          <w:sz w:val="28"/>
        </w:rPr>
      </w:pPr>
    </w:p>
    <w:p w14:paraId="AF000000">
      <w:pPr>
        <w:rPr>
          <w:rFonts w:ascii="Times New Roman" w:hAnsi="Times New Roman"/>
          <w:sz w:val="28"/>
        </w:rPr>
      </w:pPr>
    </w:p>
    <w:sectPr>
      <w:footerReference r:id="rId1" w:type="default"/>
      <w:type w:val="continuous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List Paragraph"/>
    <w:basedOn w:val="Style_3"/>
    <w:link w:val="Style_8_ch"/>
    <w:pPr>
      <w:widowControl w:val="1"/>
      <w:ind w:left="720"/>
      <w:contextualSpacing w:val="1"/>
    </w:pPr>
  </w:style>
  <w:style w:styleId="Style_8_ch" w:type="character">
    <w:name w:val="List Paragraph"/>
    <w:basedOn w:val="Style_3_ch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0_ch" w:type="character">
    <w:name w:val="heading 3"/>
    <w:basedOn w:val="Style_3_ch"/>
    <w:link w:val="Style_10"/>
    <w:rPr>
      <w:rFonts w:asciiTheme="majorAscii" w:hAnsiTheme="majorHAnsi"/>
      <w:b w:val="1"/>
      <w:color w:themeColor="accent1" w:val="4F81BD"/>
    </w:rPr>
  </w:style>
  <w:style w:styleId="Style_11" w:type="paragraph">
    <w:name w:val="Стиль1"/>
    <w:basedOn w:val="Style_3"/>
    <w:link w:val="Style_11_ch"/>
    <w:pPr>
      <w:widowControl w:val="1"/>
      <w:spacing w:after="0" w:line="240" w:lineRule="auto"/>
      <w:ind w:firstLine="709"/>
      <w:jc w:val="both"/>
    </w:pPr>
    <w:rPr>
      <w:rFonts w:ascii="Times New Roman" w:hAnsi="Times New Roman"/>
      <w:b w:val="1"/>
      <w:sz w:val="32"/>
    </w:rPr>
  </w:style>
  <w:style w:styleId="Style_11_ch" w:type="character">
    <w:name w:val="Стиль1"/>
    <w:basedOn w:val="Style_3_ch"/>
    <w:link w:val="Style_11"/>
    <w:rPr>
      <w:rFonts w:ascii="Times New Roman" w:hAnsi="Times New Roman"/>
      <w:b w:val="1"/>
      <w:sz w:val="32"/>
    </w:rPr>
  </w:style>
  <w:style w:styleId="Style_12" w:type="paragraph">
    <w:name w:val="header"/>
    <w:basedOn w:val="Style_3"/>
    <w:link w:val="Style_1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3_ch"/>
    <w:link w:val="Style_12"/>
  </w:style>
  <w:style w:styleId="Style_13" w:type="paragraph">
    <w:name w:val="Абзац списка1"/>
    <w:basedOn w:val="Style_3"/>
    <w:link w:val="Style_13_ch"/>
    <w:pPr>
      <w:widowControl w:val="1"/>
      <w:spacing w:after="160" w:line="259" w:lineRule="auto"/>
      <w:ind w:left="720"/>
      <w:contextualSpacing w:val="1"/>
    </w:pPr>
    <w:rPr>
      <w:rFonts w:ascii="Calibri" w:hAnsi="Calibri"/>
    </w:rPr>
  </w:style>
  <w:style w:styleId="Style_13_ch" w:type="character">
    <w:name w:val="Абзац списка1"/>
    <w:basedOn w:val="Style_3_ch"/>
    <w:link w:val="Style_13"/>
    <w:rPr>
      <w:rFonts w:ascii="Calibri" w:hAnsi="Calibri"/>
    </w:rPr>
  </w:style>
  <w:style w:styleId="Style_1" w:type="paragraph">
    <w:name w:val="foot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3_ch"/>
    <w:link w:val="Style_1"/>
  </w:style>
  <w:style w:styleId="Style_14" w:type="paragraph">
    <w:name w:val="ConsNormal"/>
    <w:link w:val="Style_14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14_ch" w:type="character">
    <w:name w:val="ConsNormal"/>
    <w:link w:val="Style_14"/>
    <w:rPr>
      <w:rFonts w:ascii="Arial" w:hAnsi="Arial"/>
      <w:sz w:val="20"/>
    </w:rPr>
  </w:style>
  <w:style w:styleId="Style_15" w:type="paragraph">
    <w:name w:val="Normal (Web)"/>
    <w:basedOn w:val="Style_3"/>
    <w:link w:val="Style_1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Normal (Web)"/>
    <w:basedOn w:val="Style_3_ch"/>
    <w:link w:val="Style_15"/>
    <w:rPr>
      <w:rFonts w:ascii="Times New Roman" w:hAnsi="Times New Roman"/>
      <w:sz w:val="24"/>
    </w:rPr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9_ch" w:type="character">
    <w:name w:val="heading 1"/>
    <w:basedOn w:val="Style_3_ch"/>
    <w:link w:val="Style_19"/>
    <w:rPr>
      <w:rFonts w:asciiTheme="majorAscii" w:hAnsiTheme="majorHAnsi"/>
      <w:b w:val="1"/>
      <w:color w:themeColor="accent1" w:themeShade="BF" w:val="376092"/>
      <w:sz w:val="28"/>
    </w:rPr>
  </w:style>
  <w:style w:styleId="Style_20" w:type="paragraph">
    <w:name w:val="Hyperlink"/>
    <w:basedOn w:val="Style_18"/>
    <w:link w:val="Style_20_ch"/>
    <w:rPr>
      <w:color w:themeColor="hyperlink" w:val="0000FF"/>
      <w:u w:val="single"/>
    </w:rPr>
  </w:style>
  <w:style w:styleId="Style_20_ch" w:type="character">
    <w:name w:val="Hyperlink"/>
    <w:basedOn w:val="Style_18_ch"/>
    <w:link w:val="Style_20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basedOn w:val="Style_3"/>
    <w:next w:val="Style_3"/>
    <w:link w:val="Style_22_ch"/>
    <w:uiPriority w:val="39"/>
    <w:pPr>
      <w:widowControl w:val="1"/>
      <w:spacing w:after="100"/>
      <w:ind/>
    </w:pPr>
  </w:style>
  <w:style w:styleId="Style_22_ch" w:type="character">
    <w:name w:val="toc 1"/>
    <w:basedOn w:val="Style_3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Nonformat"/>
    <w:link w:val="Style_2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7_ch" w:type="character">
    <w:name w:val="ConsPlusNonformat"/>
    <w:link w:val="Style_27"/>
    <w:rPr>
      <w:rFonts w:ascii="Courier New" w:hAnsi="Courier New"/>
      <w:sz w:val="20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1_ch" w:type="character">
    <w:name w:val="heading 2"/>
    <w:basedOn w:val="Style_3_ch"/>
    <w:link w:val="Style_31"/>
    <w:rPr>
      <w:rFonts w:asciiTheme="majorAscii" w:hAnsiTheme="majorHAnsi"/>
      <w:b w:val="1"/>
      <w:color w:themeColor="accent1" w:val="4F81BD"/>
      <w:sz w:val="26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footer1.xml" Type="http://schemas.openxmlformats.org/officeDocument/2006/relationships/foot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2021-01-11T06:00:00Z</dcterms:created>
  <dcterms:modified xsi:type="dcterms:W3CDTF">2025-04-15T06:10:00Z</dcterms:modified>
</cp:coreProperties>
</file>