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Право на льготное лекарственное обеспечение</w:t>
      </w: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Право на бесплатное предоставление лекарственных препаратов имеют, в частности, следующие категории лиц: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-граждане при оказании им в рамках программы госгарантий бесплатной медпомощи: первичной медико-санитарной помощи в дневном стационаре и в неотложной форме, специализированной, скорой, паллиативной медпомощи в стационаре, дневном стационаре и при посещениях на дому;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-дети до трех лет, дети из многодетных семей до шести лет, а также инвалиды I и II группы и неработающие инвалиды II группы;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-лица, находящиеся под диспансерным наблюдением в связи с туберкулезом, и больные туберкулезом;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-ВИЧ-инфицированные, а также граждане, нуждающиеся в проведении профилактического лечения ВИЧ-инфекции;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-военнослужащие и граждане, призванные на военные сборы;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-сотрудники органов внутренних дел Российской Федерации (в том числе полиции);</w:t>
      </w:r>
    </w:p>
    <w:p w14:paraId="0A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-граждане, занятые на работах с химическим оружием, и граждане, получившие профессиональные заболевания в результате проведения работ с химическим оружием;</w:t>
      </w:r>
    </w:p>
    <w:p w14:paraId="0B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-Герои Социалистического Труда, полные кавалеры ордена Трудовой Славы (граждане России);</w:t>
      </w:r>
    </w:p>
    <w:p w14:paraId="0C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-Герои Советского Союза, Герои РФ и полные кавалеры ордена Славы (граждане РФ);</w:t>
      </w:r>
    </w:p>
    <w:p w14:paraId="0D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-лица в составе Российской антарктической экспедиции;</w:t>
      </w:r>
    </w:p>
    <w:p w14:paraId="0E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-лица, находящиеся под диспансерным наблюдением, которые перенесли острое нарушение мозгового кровообращения, инфаркт миокарда, страдающие ишемической болезнью сердца в сочетании с фибрилляцией предсердий и хронической сердечной недостаточностью.</w:t>
      </w:r>
    </w:p>
    <w:p w14:paraId="0F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Указанный перечень лиц не является исчерпывающим.</w:t>
      </w:r>
    </w:p>
    <w:p w14:paraId="10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Региональное законодательство также может определять дополнительный круг лиц, имеющих право на получение бесплатных лекарственных средств.</w:t>
      </w:r>
    </w:p>
    <w:p w14:paraId="11000000">
      <w:pPr>
        <w:spacing w:after="269" w:before="0"/>
        <w:ind w:firstLine="0" w:left="0" w:right="0"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</w:p>
    <w:p w14:paraId="12000000">
      <w:pPr>
        <w:spacing w:after="269" w:before="0"/>
        <w:ind w:firstLine="0" w:left="0" w:right="0"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</w:p>
    <w:p w14:paraId="13000000">
      <w:pPr>
        <w:spacing w:after="0" w:before="0"/>
        <w:ind w:firstLine="0" w:left="0" w:right="0"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6"/>
        </w:rPr>
      </w:pPr>
    </w:p>
    <w:p w14:paraId="14000000">
      <w:pPr>
        <w:spacing w:after="269" w:before="0"/>
        <w:ind w:firstLine="0" w:left="0" w:right="0"/>
        <w:jc w:val="both"/>
      </w:pPr>
    </w:p>
    <w:p w14:paraId="15000000">
      <w:pPr>
        <w:pStyle w:val="Style_1"/>
        <w:ind/>
        <w:jc w:val="both"/>
      </w:pPr>
    </w:p>
    <w:p w14:paraId="16000000">
      <w:pPr>
        <w:pStyle w:val="Style_1"/>
        <w:ind/>
        <w:jc w:val="both"/>
      </w:pPr>
    </w:p>
    <w:p w14:paraId="17000000">
      <w:pPr>
        <w:pStyle w:val="Style_1"/>
        <w:ind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2025-10-20T12:02:53Z</dcterms:modified>
</cp:coreProperties>
</file>