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ru-RU"/>
        </w:rPr>
        <w:t>Аналитический  отчет по результатам читательской грамотности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ru-RU"/>
        </w:rPr>
        <w:t>обучающихся  5 классов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b/>
          <w:sz w:val="28"/>
          <w:szCs w:val="28"/>
          <w:lang w:eastAsia="ru-RU"/>
        </w:rPr>
        <w:t>МБОУ</w:t>
      </w:r>
      <w:r>
        <w:rPr>
          <w:rFonts w:hint="default" w:ascii="Times New Roman" w:hAnsi="Times New Roman" w:cs="Times New Roman"/>
          <w:b/>
          <w:sz w:val="28"/>
          <w:szCs w:val="28"/>
          <w:lang w:val="en-US" w:eastAsia="ru-RU"/>
        </w:rPr>
        <w:t xml:space="preserve"> СОШ с.Кузяново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en-US" w:eastAsia="ru-RU"/>
        </w:rPr>
      </w:pP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7 января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 202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3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года было проведено исследование по оценке динамики читательской грамотности  обучающихся 5 классов.  В данном  исследовании  приняли участие  обучающиеся 5 класса – 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11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учащихся..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eastAsia="ru-RU"/>
        </w:rPr>
        <w:t xml:space="preserve">Основным направлением  мониторинга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является оценка разных читательских умений: умения  извлекать из текста информацию; умения интегрировать (связывать в единую картину) и интерпретировать  (прояснять для самого себя) сообщений  текста;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умения размышлять о тексте и оценивать его с собственной точки зрения; умения формировать прямые выводы,  делать простейшие умозаключения на основе информации, извлечённой из текста.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Цель мониторинга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>: выявление читательской грамотности обучающихся, а также определения факторов, влияющих на развитие читательской грамотности  для определения портрета успешного читателя.</w:t>
      </w:r>
    </w:p>
    <w:p>
      <w:pPr>
        <w:tabs>
          <w:tab w:val="left" w:pos="1012"/>
        </w:tabs>
        <w:spacing w:line="233" w:lineRule="auto"/>
        <w:jc w:val="both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Основное  содержание  мониторинга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материалы разработаны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на основе следующих документов и методических материалов:</w:t>
      </w:r>
    </w:p>
    <w:p>
      <w:pPr>
        <w:pStyle w:val="9"/>
        <w:numPr>
          <w:numId w:val="0"/>
        </w:numPr>
        <w:ind w:firstLine="960" w:firstLineChars="4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  <w:t>Структура работы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ind w:firstLine="70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работе используются научно-популярные или информационные тексты. Объем текста и уровень сложности соответствуют возрастным особенностям обучающихся.</w:t>
      </w:r>
    </w:p>
    <w:p>
      <w:pPr>
        <w:pStyle w:val="1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Результаты выполнения работы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:</w:t>
      </w:r>
    </w:p>
    <w:p>
      <w:pPr>
        <w:pStyle w:val="1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7"/>
        <w:tblW w:w="944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200"/>
        <w:gridCol w:w="477"/>
        <w:gridCol w:w="405"/>
        <w:gridCol w:w="465"/>
        <w:gridCol w:w="480"/>
        <w:gridCol w:w="405"/>
        <w:gridCol w:w="435"/>
        <w:gridCol w:w="480"/>
        <w:gridCol w:w="465"/>
        <w:gridCol w:w="375"/>
        <w:gridCol w:w="1005"/>
        <w:gridCol w:w="135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Код обучающегося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5" w:type="dxa"/>
          </w:tcPr>
          <w:p>
            <w:pPr>
              <w:pStyle w:val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>
            <w:pPr>
              <w:pStyle w:val="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Качество 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35.3%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низкий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82,3%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повышенный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низкий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70,6%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59%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82,3%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повышенный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76,4%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повышенный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59%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41%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низкий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53%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0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77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41%</w:t>
            </w:r>
          </w:p>
        </w:tc>
        <w:tc>
          <w:tcPr>
            <w:tcW w:w="127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Низкий </w:t>
            </w:r>
          </w:p>
        </w:tc>
      </w:tr>
    </w:tbl>
    <w:p>
      <w:pPr>
        <w:pStyle w:val="10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10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Результаты выполнения работы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по классу </w:t>
      </w:r>
      <w:r>
        <w:rPr>
          <w:rFonts w:hint="default" w:ascii="Times New Roman" w:hAnsi="Times New Roman" w:cs="Times New Roman"/>
          <w:b/>
          <w:sz w:val="24"/>
          <w:szCs w:val="24"/>
        </w:rPr>
        <w:t>:</w:t>
      </w:r>
    </w:p>
    <w:p>
      <w:pPr>
        <w:pStyle w:val="1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7"/>
        <w:tblW w:w="1045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885"/>
        <w:gridCol w:w="840"/>
        <w:gridCol w:w="840"/>
        <w:gridCol w:w="810"/>
        <w:gridCol w:w="825"/>
        <w:gridCol w:w="810"/>
        <w:gridCol w:w="825"/>
        <w:gridCol w:w="750"/>
        <w:gridCol w:w="78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53975</wp:posOffset>
                      </wp:positionV>
                      <wp:extent cx="1009650" cy="1114425"/>
                      <wp:effectExtent l="3810" t="3175" r="15240" b="6350"/>
                      <wp:wrapNone/>
                      <wp:docPr id="1" name="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8160" y="1597660"/>
                                <a:ext cx="1009650" cy="11144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Линия 4" o:spid="_x0000_s1026" o:spt="20" style="position:absolute;left:0pt;margin-left:-2.45pt;margin-top:4.25pt;height:87.75pt;width:79.5pt;z-index:251659264;mso-width-relative:page;mso-height-relative:page;" filled="f" stroked="t" coordsize="21600,21600" o:gfxdata="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Vad7NcAAAAIAQAADwAAAAAAAAABACAAAAAiAAAAZHJzL2Rvd25yZXYueG1s&#10;UEsBAhQAFAAAAAgAh07iQDbamo/5AQAA8AMAAA4AAAAAAAAAAQAgAAAAJgEAAGRycy9lMm9Eb2Mu&#10;eG1sUEsFBgAAAAAGAAYAWQEAAJE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№            </w:t>
            </w:r>
          </w:p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       задан</w:t>
            </w:r>
          </w:p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Кол-во </w:t>
            </w:r>
          </w:p>
        </w:tc>
        <w:tc>
          <w:tcPr>
            <w:tcW w:w="88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Процент максим балла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9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8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49%</w:t>
            </w:r>
          </w:p>
        </w:tc>
        <w:tc>
          <w:tcPr>
            <w:tcW w:w="84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46%</w:t>
            </w:r>
          </w:p>
        </w:tc>
        <w:tc>
          <w:tcPr>
            <w:tcW w:w="84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67%</w:t>
            </w:r>
          </w:p>
        </w:tc>
        <w:tc>
          <w:tcPr>
            <w:tcW w:w="81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  <w:tc>
          <w:tcPr>
            <w:tcW w:w="82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  <w:tc>
          <w:tcPr>
            <w:tcW w:w="81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55%</w:t>
            </w:r>
          </w:p>
        </w:tc>
        <w:tc>
          <w:tcPr>
            <w:tcW w:w="825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18%</w:t>
            </w:r>
          </w:p>
        </w:tc>
        <w:tc>
          <w:tcPr>
            <w:tcW w:w="7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50%</w:t>
            </w:r>
          </w:p>
        </w:tc>
        <w:tc>
          <w:tcPr>
            <w:tcW w:w="78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82%</w:t>
            </w:r>
          </w:p>
        </w:tc>
        <w:tc>
          <w:tcPr>
            <w:tcW w:w="1350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53%</w:t>
            </w:r>
          </w:p>
        </w:tc>
      </w:tr>
    </w:tbl>
    <w:p>
      <w:pPr>
        <w:pStyle w:val="1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10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508"/>
        <w:gridCol w:w="1508"/>
        <w:gridCol w:w="1508"/>
        <w:gridCol w:w="1508"/>
        <w:gridCol w:w="1508"/>
        <w:gridCol w:w="1508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38" w:hRule="atLeast"/>
        </w:trPr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Кол-во 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508" w:type="dxa"/>
            <w:vAlign w:val="top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 w:eastAsia="en-US" w:bidi="ar-SA"/>
              </w:rPr>
              <w:t>2</w:t>
            </w:r>
          </w:p>
        </w:tc>
        <w:tc>
          <w:tcPr>
            <w:tcW w:w="1508" w:type="dxa"/>
            <w:vAlign w:val="top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HAnsi"/>
                <w:b w:val="0"/>
                <w:bCs/>
                <w:sz w:val="24"/>
                <w:szCs w:val="24"/>
                <w:vertAlign w:val="baseline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 xml:space="preserve">Успеваемость  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Качество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91%</w:t>
            </w:r>
          </w:p>
        </w:tc>
        <w:tc>
          <w:tcPr>
            <w:tcW w:w="1508" w:type="dxa"/>
          </w:tcPr>
          <w:p>
            <w:pPr>
              <w:pStyle w:val="10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vertAlign w:val="baseline"/>
                <w:lang w:val="ru-RU"/>
              </w:rPr>
              <w:t>63,7%</w:t>
            </w:r>
          </w:p>
        </w:tc>
      </w:tr>
    </w:tbl>
    <w:p>
      <w:pPr>
        <w:pStyle w:val="1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hd w:val="clear" w:color="auto" w:fill="FFFFFF"/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Анализируя работы учащихся, можно сделать следующие выводы:</w:t>
      </w:r>
    </w:p>
    <w:p>
      <w:pPr>
        <w:shd w:val="clear" w:color="auto" w:fill="FFFFFF"/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1) Наибольшие затруднения учащихся при работе с художественными текстами вызывают задания, в которых необходимо не только выбрать какое-либо утверждение, но и объяснить свой выбор, привести примеры, доказывающие его.</w:t>
      </w:r>
    </w:p>
    <w:p>
      <w:pPr>
        <w:shd w:val="clear" w:color="auto" w:fill="FFFFFF"/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2) В научно-популярных текстах школьникам труднее всего выявлять информацию, заданную в явном виде, и формулировать прямые выводы и заключения на основе фактов, имеющихся в тексте.</w:t>
      </w:r>
    </w:p>
    <w:p>
      <w:pPr>
        <w:shd w:val="clear" w:color="auto" w:fill="FFFFFF"/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С целью корректировки полученных результатов учителю необходимо построить работу над текстами таким образом, чтобы учащиеся понимали, что для каждого конкретного случая процедура и приемы деятельности в процессе чтения существенно отличаются. Целесообразно перед чтением текста в классе совместно с детьми формулировать цель чтения, причем делать это следует не только на уроках литературного чтения, но и на других занятиях, например, на математике при прочтении условия задачи. От правильно определенной цели и мотивов чтения напрямую зависит усвоение прочитанного, глубина и прочность запоминания.</w:t>
      </w:r>
    </w:p>
    <w:p>
      <w:pPr>
        <w:shd w:val="clear" w:color="auto" w:fill="FFFFFF"/>
        <w:spacing w:after="0" w:line="240" w:lineRule="auto"/>
        <w:ind w:firstLine="284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181818"/>
          <w:sz w:val="24"/>
          <w:szCs w:val="24"/>
          <w:lang w:eastAsia="ru-RU"/>
        </w:rPr>
        <w:t>На основе всего вышеизложенного с целью повышения эффективности формирования читательских умений учащихся рекомендуется: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 Включить в планы работы методических объединений педагогов: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проведение мастер-классов педагогами, успешно осуществляющими работу по развитию читательских умений;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обсуждение вопроса «Эффективные приемы формирования и развития читательских умений учащихся в процессе обучения учебному предмету».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Оптимизировать деятельность школьной библиотеки и внеклассную работу классных руководителей по пропаганде чтения и повышению мотивации к досуговому чтению.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Организовать работу с родителями учащихся по оказанию помощи детям при работе с письменными источниками разных видов (учебной, научной, художественной, справочной литературой, в особенности словарями и энциклопедиями).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Включить в план воспитательной работы учреждения образования мероприятия, направленные на популяризацию чтения, поддержку и развитие семейного чтения;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1. Для формирования у учащихся </w:t>
      </w:r>
      <w:r>
        <w:rPr>
          <w:rFonts w:hint="default"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  <w:t>читательского умения находить и извлекать информацию из текста </w:t>
      </w: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рекомендуется предлагать им задания, в которых необходимо: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после внимательного, осознанного прочтения текста находить и вычленять в тексте фрагмент или фрагменты, требующиеся для ответа на заданный вопрос;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выстраивать последовательность описываемых событий, делать простые выводы по содержанию текста;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обнаруживать соответствие между частью текста и его общей идеей, сопоставлять информацию из разных частей текста;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объяснять назначение карты, рисунка, пояснять части графика или таблицы и т. д.;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определять лексическое значение незнакомого слова (термина) не только по справочной литературе, но и на основе контекста.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2. Для формирования</w:t>
      </w:r>
      <w:r>
        <w:rPr>
          <w:rFonts w:hint="default"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  <w:t> </w:t>
      </w: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у учащихся</w:t>
      </w:r>
      <w:r>
        <w:rPr>
          <w:rFonts w:hint="default"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  <w:t> читательского умения интегрировать и интерпретировать информацию текста </w:t>
      </w: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рекомендуется предлагать им задания, в которых требуется: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выделять основную и второстепенную информацию, извлекать из текста единицы информации, объединенные общей темой;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обнаруживать в тексте доводы в подтверждение выдвинутых тезисов;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аргументировано, связно, последовательно отвечать на вопрос в письменной форме, используя информацию исходного текста;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формировать на основе текста систему аргументов (доводов) для обоснования определенной позиции; сопоставлять разные точки зрения и разные источники информации по заданной теме;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различать информацию, заданную в тексте, и информацию, которой учащиеся владеют на основе своего личного опыта.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3. Для формирования</w:t>
      </w:r>
      <w:r>
        <w:rPr>
          <w:rFonts w:hint="default" w:ascii="Times New Roman" w:hAnsi="Times New Roman" w:eastAsia="Times New Roman" w:cs="Times New Roman"/>
          <w:i/>
          <w:iCs/>
          <w:color w:val="181818"/>
          <w:sz w:val="24"/>
          <w:szCs w:val="24"/>
          <w:lang w:eastAsia="ru-RU"/>
        </w:rPr>
        <w:t> читательского умения анализировать и оценивать содержание текста </w:t>
      </w: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рекомендуется предлагать задания, в которых требуется: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размышлять об информации, сообщенной в тексте; высказывать согласие или несогласие с авторской позицией, мотивировать его;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оценивать утверждение текста с точки зрения собственных моральных или эстетических представлений;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 </w:t>
      </w: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val="be-BY" w:eastAsia="ru-RU"/>
        </w:rPr>
        <w:t>формулировать логические умозаключения на основе информации, приведенной в тексте, приобретенных знаний и собственного опыта;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высказывать свою собственную точку зрения о том, что обсуждается в тексте, и обосновывать ее;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181818"/>
          <w:sz w:val="24"/>
          <w:szCs w:val="24"/>
          <w:lang w:eastAsia="ru-RU"/>
        </w:rPr>
        <w:t>— при оценке содержания текста обращать внимание не только на главные характеристики текста, но и на детали;</w:t>
      </w: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Зам дир по УВР: _______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___ Валиева Г.А.</w:t>
      </w:r>
    </w:p>
    <w:sectPr>
      <w:pgSz w:w="11906" w:h="16838"/>
      <w:pgMar w:top="1134" w:right="525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C0"/>
    <w:rsid w:val="000077C0"/>
    <w:rsid w:val="0009639E"/>
    <w:rsid w:val="001D7471"/>
    <w:rsid w:val="00271A5B"/>
    <w:rsid w:val="00354DFF"/>
    <w:rsid w:val="004045DE"/>
    <w:rsid w:val="00497E13"/>
    <w:rsid w:val="005116F6"/>
    <w:rsid w:val="005A77FC"/>
    <w:rsid w:val="006A3680"/>
    <w:rsid w:val="007A00CD"/>
    <w:rsid w:val="008245CF"/>
    <w:rsid w:val="008A3F3E"/>
    <w:rsid w:val="00924A4B"/>
    <w:rsid w:val="009D4B71"/>
    <w:rsid w:val="009E5710"/>
    <w:rsid w:val="00A27AF8"/>
    <w:rsid w:val="00B70709"/>
    <w:rsid w:val="00BF77FE"/>
    <w:rsid w:val="00CA2E2C"/>
    <w:rsid w:val="00DB6988"/>
    <w:rsid w:val="00E66486"/>
    <w:rsid w:val="00F530FA"/>
    <w:rsid w:val="00F5431D"/>
    <w:rsid w:val="00FE1CF2"/>
    <w:rsid w:val="02041B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uiPriority w:val="99"/>
    <w:rPr>
      <w:vertAlign w:val="superscript"/>
    </w:rPr>
  </w:style>
  <w:style w:type="character" w:styleId="5">
    <w:name w:val="Hyperlink"/>
    <w:basedOn w:val="2"/>
    <w:semiHidden/>
    <w:unhideWhenUsed/>
    <w:uiPriority w:val="99"/>
    <w:rPr>
      <w:color w:val="0000FF"/>
      <w:u w:val="single"/>
    </w:rPr>
  </w:style>
  <w:style w:type="paragraph" w:styleId="6">
    <w:name w:val="footnote text"/>
    <w:basedOn w:val="1"/>
    <w:link w:val="8"/>
    <w:semiHidden/>
    <w:unhideWhenUsed/>
    <w:qFormat/>
    <w:uiPriority w:val="99"/>
    <w:pPr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сноски Знак"/>
    <w:basedOn w:val="2"/>
    <w:link w:val="6"/>
    <w:semiHidden/>
    <w:qFormat/>
    <w:uiPriority w:val="99"/>
    <w:rPr>
      <w:rFonts w:ascii="Times New Roman" w:hAnsi="Times New Roman" w:cs="Times New Roman" w:eastAsiaTheme="minorEastAsia"/>
      <w:sz w:val="20"/>
      <w:szCs w:val="20"/>
      <w:lang w:eastAsia="ru-RU"/>
    </w:rPr>
  </w:style>
  <w:style w:type="paragraph" w:styleId="9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cs="Times New Roman" w:eastAsiaTheme="minorEastAsia"/>
      <w:lang w:eastAsia="ru-RU"/>
    </w:rPr>
  </w:style>
  <w:style w:type="paragraph" w:styleId="1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EB5E9C-EF98-4FE2-AFDF-788D43B632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1247</Words>
  <Characters>7112</Characters>
  <Lines>59</Lines>
  <Paragraphs>16</Paragraphs>
  <TotalTime>17</TotalTime>
  <ScaleCrop>false</ScaleCrop>
  <LinksUpToDate>false</LinksUpToDate>
  <CharactersWithSpaces>8343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2021-10-24T00:37:00Z</dcterms:created>
  <dc:creator>Admin</dc:creator>
  <cp:lastModifiedBy>1</cp:lastModifiedBy>
  <dcterms:modified xsi:type="dcterms:W3CDTF">2023-03-12T12:10:00Z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C105F78E0F0245849EE9438050FFE382</vt:lpwstr>
  </property>
</Properties>
</file>