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50" w:before="300"/>
        <w:rPr>
          <w:rFonts w:ascii="Times New Roman" w:hAnsi="Times New Roman" w:cs="Times New Roman" w:eastAsia="Times New Roman"/>
          <w:sz w:val="45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b/>
          <w:color w:val="333333"/>
          <w:sz w:val="45"/>
        </w:rPr>
        <w:t xml:space="preserve">Значимые для родителей признаки ранней алкоголизации и наркотизации детей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Ребенок в семье отстраняется от родителей, часто и надолго исчезает из дома или же запирается в своей комнате. Расспросы, даже самые деликатные, вызывают у него вспышку гнева.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У него меняется круг общения, прежние друзья исчезают, новые предпочитают как можно меньше контактировать с Вами, почти ничего не сообщают о себе.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Ваш «семейный» дом постепенно превращается в «штаб-квартиру» - часто звонит телефон, Ваш ребенок в присутствии посторонних не разговаривает открыто, а использует намеки, жаргон, условные «коды».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Меняется характер ребенка. Его не интересует то, что раньше имело значение: семья, учеба, увлечения. Появляется раздражительность, вспыльчивость, капризность, эгоизм, лживость.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Его состояние немотивированно меняется: он то полон энергии, весел, шутит, то становится пассивен, вял, иногда угрюм, плаксив.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У ребенка появляются финансовые проблемы. Он часто просит у Вас деньги, но объяснить, на что они ему нужны, не может, или объяснения малоубедительны. Из дома постепенно исчезают деньги и вещи. Сначала это может быть незаметно, пропажи в семье объясняются с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лучайностью (потеряли, забы­ли куда положили). Потом уже исчезновение (видеотехники, например) трудно скрыть.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Иногда Вы наблюдаете необычное состояние Вашего ребенка: оно может быть похоже на опьянение, но без запаха алкоголя. Может быть нарушена координация движений, речь, появляется нелепый смех, зрачки расширены или сужены. Конкретные признаки опьянения зависят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 от вида вещества.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Для большей убедительности в начале первых проб с наркотиками можно использовать так называемые «стрип-тесты», которые продаются в аптеках и представляют собой полоски, типа лакмусовой бумаги. Их надо погрузить с исследуемую мочу, результат проявится через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 5 минут в виде изменения окраски. Одни тесты рассчитаны на один вид наркотика, другие выявляют пять видов. Чувствительность метода достаточно высока: наркотик выявляется даже спустя три дня после прекращения его приема.</w:t>
      </w:r>
      <w:r>
        <w:rPr>
          <w:rFonts w:ascii="Times New Roman" w:hAnsi="Times New Roman" w:cs="Times New Roman" w:eastAsia="Times New Roman"/>
        </w:rPr>
      </w:r>
    </w:p>
    <w:p>
      <w:pPr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2022-01-29T06:22:53Z</dcterms:modified>
</cp:coreProperties>
</file>